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60"/>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21</w:t>
      </w:r>
      <w:r>
        <w:tab/>
      </w:r>
      <w:r>
        <w:t>R</w:t>
      </w:r>
      <w:r>
        <w:rPr>
          <w:rFonts w:hint="eastAsia" w:eastAsia="宋体"/>
          <w:lang w:val="en-US" w:eastAsia="zh-CN"/>
        </w:rPr>
        <w:t>2</w:t>
      </w:r>
      <w:r>
        <w:t>-</w:t>
      </w:r>
      <w:r>
        <w:rPr>
          <w:rFonts w:hint="eastAsia" w:eastAsia="宋体"/>
          <w:lang w:val="en-US" w:eastAsia="zh-CN"/>
        </w:rPr>
        <w:t>2300354</w:t>
      </w:r>
    </w:p>
    <w:p>
      <w:pPr>
        <w:pStyle w:val="38"/>
        <w:rPr>
          <w:rFonts w:hint="eastAsia" w:eastAsia="SimSun"/>
          <w:lang w:eastAsia="zh-CN"/>
        </w:rPr>
      </w:pPr>
      <w:r>
        <w:rPr>
          <w:rFonts w:hint="eastAsia" w:ascii="Arial" w:hAnsi="Arial" w:cs="Arial"/>
          <w:b/>
          <w:bCs/>
          <w:kern w:val="0"/>
          <w:sz w:val="24"/>
          <w:lang w:val="en-US" w:eastAsia="zh-CN"/>
        </w:rPr>
        <w:t>Athens, Greece, February-March, 202</w:t>
      </w:r>
      <w:r>
        <w:rPr>
          <w:rFonts w:hint="eastAsia" w:eastAsia="SimSun"/>
          <w:lang w:val="en-US" w:eastAsia="zh-CN"/>
        </w:rPr>
        <w:t>3</w:t>
      </w:r>
    </w:p>
    <w:p>
      <w:pPr>
        <w:pStyle w:val="38"/>
        <w:spacing w:after="0"/>
        <w:rPr>
          <w:rFonts w:cs="Arial"/>
          <w:sz w:val="22"/>
        </w:rPr>
      </w:pP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3</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SimSun" w:cs="Arial"/>
          <w:sz w:val="22"/>
          <w:lang w:val="en-US" w:eastAsia="zh-CN"/>
        </w:rPr>
        <w:t xml:space="preserve">Further </w:t>
      </w:r>
      <w:r>
        <w:rPr>
          <w:rFonts w:hint="eastAsia" w:eastAsia="宋体"/>
          <w:sz w:val="22"/>
          <w:lang w:val="en-US" w:eastAsia="zh-CN"/>
        </w:rPr>
        <w:t>discussion on Rel-17 leftover issues for QoE</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8"/>
        <w:spacing w:after="0"/>
        <w:rPr>
          <w:color w:val="FF0000"/>
          <w:sz w:val="22"/>
        </w:rPr>
      </w:pPr>
    </w:p>
    <w:p>
      <w:pPr>
        <w:pStyle w:val="2"/>
        <w:rPr>
          <w:rFonts w:cs="Arial"/>
          <w:b/>
          <w:bCs/>
          <w:lang w:val="en-US"/>
        </w:rPr>
      </w:pPr>
      <w:r>
        <w:rPr>
          <w:rFonts w:cs="Arial"/>
          <w:b/>
          <w:bCs/>
          <w:lang w:val="en-US"/>
        </w:rPr>
        <w:t>Introduction</w:t>
      </w:r>
    </w:p>
    <w:p>
      <w:pPr>
        <w:pStyle w:val="69"/>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val="en-US" w:eastAsia="zh-CN"/>
              </w:rPr>
            </w:pPr>
            <w:r>
              <w:rPr>
                <w:rFonts w:hint="eastAsia"/>
                <w:i/>
                <w:iCs/>
                <w:lang w:eastAsia="zh-CN"/>
              </w:rPr>
              <w:t>Left-over features</w:t>
            </w:r>
            <w:r>
              <w:rPr>
                <w:rFonts w:hint="eastAsia"/>
                <w:i/>
                <w:iCs/>
                <w:lang w:val="en-US" w:eastAsia="zh-CN"/>
              </w:rPr>
              <w:t xml:space="preserve"> from Rel-17, as well as the enhancements of existing features which are not included in Rel-17 normative phase, should be </w:t>
            </w:r>
            <w:r>
              <w:rPr>
                <w:i/>
                <w:iCs/>
                <w:lang w:val="en-US" w:eastAsia="zh-CN"/>
              </w:rPr>
              <w:t>supported</w:t>
            </w:r>
            <w:r>
              <w:rPr>
                <w:rFonts w:hint="eastAsia"/>
                <w:i/>
                <w:iCs/>
                <w:lang w:val="en-US" w:eastAsia="zh-CN"/>
              </w:rPr>
              <w:t xml:space="preserve"> in Rel-18 </w:t>
            </w:r>
            <w:r>
              <w:rPr>
                <w:i/>
                <w:iCs/>
                <w:lang w:val="en-US" w:eastAsia="zh-CN"/>
              </w:rPr>
              <w:t>if consensus on benefits are reached</w:t>
            </w:r>
            <w:r>
              <w:rPr>
                <w:rFonts w:hint="eastAsia"/>
                <w:i/>
                <w:iCs/>
                <w:lang w:val="en-US" w:eastAsia="zh-CN"/>
              </w:rPr>
              <w:t xml:space="preserve"> </w:t>
            </w:r>
            <w:r>
              <w:rPr>
                <w:rFonts w:hint="eastAsia"/>
                <w:i/>
                <w:iCs/>
                <w:lang w:eastAsia="zh-CN"/>
              </w:rPr>
              <w:t>[</w:t>
            </w:r>
            <w:r>
              <w:rPr>
                <w:rFonts w:hint="eastAsia"/>
                <w:i/>
                <w:iCs/>
                <w:lang w:val="en-US" w:eastAsia="zh-CN"/>
              </w:rPr>
              <w:t>RAN3</w:t>
            </w:r>
            <w:r>
              <w:rPr>
                <w:rFonts w:hint="eastAsia"/>
                <w:i/>
                <w:iCs/>
                <w:lang w:eastAsia="zh-CN"/>
              </w:rPr>
              <w:t>, RAN2].</w:t>
            </w:r>
          </w:p>
          <w:p>
            <w:pPr>
              <w:numPr>
                <w:ilvl w:val="0"/>
                <w:numId w:val="8"/>
              </w:numPr>
              <w:spacing w:after="0"/>
              <w:rPr>
                <w:bCs/>
                <w:i/>
                <w:iCs/>
                <w:lang w:val="en-US" w:eastAsia="zh-CN"/>
              </w:rPr>
            </w:pPr>
            <w:r>
              <w:rPr>
                <w:bCs/>
                <w:i/>
                <w:iCs/>
                <w:lang w:val="en-US" w:eastAsia="zh-CN"/>
              </w:rPr>
              <w:t>Specify per-slice QoE measurement configuration enhancement.</w:t>
            </w:r>
          </w:p>
          <w:p>
            <w:pPr>
              <w:numPr>
                <w:ilvl w:val="0"/>
                <w:numId w:val="8"/>
              </w:numPr>
              <w:spacing w:after="0"/>
              <w:rPr>
                <w:bCs/>
                <w:i/>
                <w:iCs/>
                <w:lang w:val="en-US" w:eastAsia="zh-CN"/>
              </w:rPr>
            </w:pPr>
            <w:r>
              <w:rPr>
                <w:bCs/>
                <w:i/>
                <w:iCs/>
                <w:lang w:val="en-US" w:eastAsia="zh-CN"/>
              </w:rPr>
              <w:t>Specify RAN visible QoE enhancements for QoE value, RAN visible QoE trigger event</w:t>
            </w:r>
            <w:r>
              <w:rPr>
                <w:rFonts w:hint="eastAsia"/>
                <w:bCs/>
                <w:i/>
                <w:iCs/>
                <w:lang w:val="en-US" w:eastAsia="zh-CN"/>
              </w:rPr>
              <w:t xml:space="preserve">, </w:t>
            </w:r>
            <w:r>
              <w:rPr>
                <w:bCs/>
                <w:i/>
                <w:iCs/>
                <w:lang w:val="en-US" w:eastAsia="zh-CN"/>
              </w:rPr>
              <w:t>RAN visible QoE Report over F1.</w:t>
            </w:r>
          </w:p>
          <w:p>
            <w:pPr>
              <w:numPr>
                <w:ilvl w:val="0"/>
                <w:numId w:val="8"/>
              </w:numPr>
              <w:spacing w:after="0"/>
              <w:rPr>
                <w:bCs/>
                <w:i/>
                <w:iCs/>
                <w:highlight w:val="none"/>
                <w:lang w:val="en-US" w:eastAsia="zh-CN"/>
              </w:rPr>
            </w:pPr>
            <w:r>
              <w:rPr>
                <w:bCs/>
                <w:i/>
                <w:iCs/>
                <w:highlight w:val="none"/>
                <w:lang w:val="en-US" w:eastAsia="zh-CN"/>
              </w:rPr>
              <w:t xml:space="preserve">Specify QoE reporting handling enhancement for </w:t>
            </w:r>
            <w:r>
              <w:rPr>
                <w:bCs/>
                <w:i/>
                <w:iCs/>
                <w:highlight w:val="none"/>
                <w:lang w:val="en-US" w:eastAsia="zh-CN" w:bidi="ar"/>
              </w:rPr>
              <w:t xml:space="preserve">overload </w:t>
            </w:r>
            <w:r>
              <w:rPr>
                <w:bCs/>
                <w:i/>
                <w:iCs/>
                <w:highlight w:val="none"/>
                <w:lang w:val="en-US" w:eastAsia="zh-CN"/>
              </w:rPr>
              <w:t>scenario</w:t>
            </w:r>
            <w:r>
              <w:rPr>
                <w:bCs/>
                <w:i/>
                <w:iCs/>
                <w:highlight w:val="none"/>
                <w:lang w:val="en-US" w:eastAsia="zh-CN" w:bidi="ar"/>
              </w:rPr>
              <w:t>.</w:t>
            </w:r>
          </w:p>
          <w:p>
            <w:pPr>
              <w:pStyle w:val="45"/>
              <w:numPr>
                <w:ilvl w:val="0"/>
                <w:numId w:val="0"/>
              </w:numPr>
              <w:spacing w:after="0"/>
              <w:ind w:left="0" w:leftChars="0"/>
              <w:jc w:val="both"/>
              <w:textAlignment w:val="center"/>
              <w:rPr>
                <w:rFonts w:eastAsia="宋体"/>
                <w:bCs/>
                <w:i/>
                <w:sz w:val="20"/>
                <w:szCs w:val="20"/>
              </w:rPr>
            </w:pPr>
          </w:p>
        </w:tc>
      </w:tr>
    </w:tbl>
    <w:p>
      <w:pPr>
        <w:spacing w:before="120" w:beforeLines="50" w:after="100"/>
      </w:pPr>
      <w:r>
        <w:rPr>
          <w:rFonts w:hint="eastAsia"/>
        </w:rPr>
        <w:t>In RAN2#11</w:t>
      </w:r>
      <w:r>
        <w:rPr>
          <w:rFonts w:hint="eastAsia" w:eastAsia="宋体"/>
          <w:lang w:eastAsia="zh-CN"/>
        </w:rPr>
        <w:t>9bis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From RAN2’s perspective, there is no further work for per-slice-based QoE measurement.</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RAN2 can wait for RAN3 progress on enhancement to per-slice RAN visible QoE measurement. </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RAN2 needs to wait for the progress of RAN3 on RVQoE value. </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The enhancement on UAI message to express the UE’s preference on QoE reporting configurations is not pursued.</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 QoE reporting via unlicensed band is out of the WID scope.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RAN2 to postpone the discussion of the QoE reporting enhancement for overload scenario to the next meeting (based on the progress of RAN3).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FFS on whether to send the priority information 1) UE and gNB or 2) only to gNB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To wait for RAN3 decision on granularity of priority.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RAN2 can discuss event-based RVQoE, including possible options, benefits, spec impacts, and complexities based on company contributions.</w:t>
            </w:r>
          </w:p>
          <w:p>
            <w:pPr>
              <w:numPr>
                <w:ilvl w:val="0"/>
                <w:numId w:val="9"/>
              </w:numPr>
              <w:tabs>
                <w:tab w:val="left" w:pos="0"/>
                <w:tab w:val="left" w:pos="1619"/>
              </w:tabs>
              <w:spacing w:after="40" w:line="276" w:lineRule="auto"/>
              <w:rPr>
                <w:lang w:val="en-GB" w:eastAsia="zh-CN"/>
              </w:rPr>
            </w:pPr>
            <w:r>
              <w:rPr>
                <w:rFonts w:hint="eastAsia" w:eastAsia="Times New Roman"/>
                <w:bCs/>
                <w:i/>
                <w:iCs/>
                <w:lang w:eastAsia="ja-JP"/>
              </w:rPr>
              <w:t>FFS whether to add the QoS flow ID in the RVQoE report. If RAN3 already agreed to this, RAN2 can progress this in the next meeting where we discuss Rel-17 leftovers.</w:t>
            </w:r>
          </w:p>
        </w:tc>
      </w:tr>
    </w:tbl>
    <w:p>
      <w:pPr>
        <w:spacing w:before="120" w:beforeLines="50" w:after="100"/>
        <w:jc w:val="both"/>
        <w:textAlignment w:val="center"/>
        <w:rPr>
          <w:sz w:val="22"/>
          <w:szCs w:val="22"/>
        </w:rPr>
      </w:pPr>
      <w:r>
        <w:rPr>
          <w:sz w:val="22"/>
          <w:szCs w:val="22"/>
        </w:rPr>
        <w:t xml:space="preserve">In this contribution, we will </w:t>
      </w:r>
      <w:r>
        <w:rPr>
          <w:i w:val="0"/>
          <w:iCs w:val="0"/>
          <w:sz w:val="22"/>
          <w:szCs w:val="22"/>
        </w:rPr>
        <w:t xml:space="preserve">discuss </w:t>
      </w:r>
      <w:r>
        <w:rPr>
          <w:rFonts w:eastAsia="宋体"/>
          <w:i w:val="0"/>
          <w:iCs w:val="0"/>
          <w:sz w:val="22"/>
          <w:szCs w:val="22"/>
        </w:rPr>
        <w:t>the remain</w:t>
      </w:r>
      <w:r>
        <w:rPr>
          <w:sz w:val="22"/>
          <w:szCs w:val="22"/>
        </w:rPr>
        <w:t>ing issues of</w:t>
      </w:r>
      <w:r>
        <w:rPr>
          <w:rFonts w:hint="eastAsia"/>
          <w:sz w:val="22"/>
          <w:szCs w:val="22"/>
          <w:lang w:val="en-US" w:eastAsia="zh-CN"/>
        </w:rPr>
        <w:t xml:space="preserve"> overload scenario enhancement and </w:t>
      </w:r>
      <w:r>
        <w:rPr>
          <w:sz w:val="22"/>
          <w:szCs w:val="22"/>
          <w:lang w:val="en-US" w:eastAsia="zh-CN"/>
        </w:rPr>
        <w:t>RA</w:t>
      </w:r>
      <w:r>
        <w:rPr>
          <w:bCs/>
          <w:i w:val="0"/>
          <w:iCs w:val="0"/>
          <w:lang w:val="en-US" w:eastAsia="zh-CN"/>
        </w:rPr>
        <w:t>N visible QoE</w:t>
      </w:r>
      <w:r>
        <w:rPr>
          <w:rFonts w:hint="eastAsia"/>
          <w:bCs/>
          <w:i w:val="0"/>
          <w:iCs w:val="0"/>
          <w:lang w:val="en-US" w:eastAsia="zh-CN"/>
        </w:rPr>
        <w:t xml:space="preserve"> enhancement</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pStyle w:val="3"/>
        <w:spacing w:line="360" w:lineRule="auto"/>
        <w:rPr>
          <w:szCs w:val="21"/>
        </w:rPr>
      </w:pPr>
      <w:r>
        <w:rPr>
          <w:rStyle w:val="25"/>
          <w:rFonts w:hint="eastAsia" w:ascii="Arial" w:hAnsi="Arial" w:eastAsia="宋体" w:cs="Arial"/>
          <w:b/>
          <w:bCs/>
          <w:color w:val="auto"/>
          <w:lang w:val="en-US" w:eastAsia="zh-CN"/>
        </w:rPr>
        <w:t xml:space="preserve"> Overload scenario enhancement</w:t>
      </w:r>
    </w:p>
    <w:p>
      <w:pPr>
        <w:spacing w:before="120" w:after="120" w:line="260" w:lineRule="auto"/>
        <w:jc w:val="both"/>
      </w:pPr>
      <w:r>
        <w:rPr>
          <w:rFonts w:hint="eastAsia" w:cs="Times New Roman"/>
          <w:bCs/>
          <w:lang w:eastAsia="zh-CN"/>
        </w:rPr>
        <w:t>Based on the previous meeting,</w:t>
      </w:r>
      <w:r>
        <w:rPr>
          <w:rFonts w:hint="eastAsia" w:cs="Times New Roman"/>
          <w:bCs/>
          <w:lang w:val="en-US" w:eastAsia="zh-CN"/>
        </w:rPr>
        <w:t xml:space="preserve"> </w:t>
      </w:r>
      <w:r>
        <w:rPr>
          <w:rFonts w:hint="eastAsia" w:cs="Times New Roman"/>
          <w:bCs/>
          <w:lang w:eastAsia="ja-JP"/>
        </w:rPr>
        <w:t>RAN2 to postpone the discussion of the QoE reporting enhancement for overload scenario to the next meeting</w:t>
      </w:r>
      <w:r>
        <w:rPr>
          <w:rFonts w:hint="eastAsia" w:eastAsia="SimSun" w:cs="Times New Roman"/>
          <w:bCs/>
          <w:lang w:val="en-US" w:eastAsia="zh-CN"/>
        </w:rPr>
        <w:t xml:space="preserve">. In our understanding, </w:t>
      </w:r>
      <w:r>
        <w:rPr>
          <w:rFonts w:hint="eastAsia" w:eastAsia="SimSun"/>
          <w:lang w:val="en-US" w:eastAsia="zh-CN"/>
        </w:rPr>
        <w:t>i</w:t>
      </w:r>
      <w:r>
        <w:t xml:space="preserve">n Rel-17 the reporting of encapsulated QoE measurements can be temporarily paused in RAN overload situations. It is left to gNB implementation which encapsulated QoE configurations of a UE to pause for reporting. The RRC specification allows a selective pause, i.e. the gNB can pause reporting of one or multiple or all QoE configurations of a UE. </w:t>
      </w:r>
    </w:p>
    <w:p>
      <w:pPr>
        <w:spacing w:before="120" w:after="120" w:line="260" w:lineRule="auto"/>
        <w:jc w:val="both"/>
        <w:rPr>
          <w:rFonts w:hint="eastAsia" w:eastAsia="宋体"/>
          <w:lang w:val="en-US" w:eastAsia="zh-CN"/>
        </w:rPr>
      </w:pPr>
      <w:r>
        <w:t xml:space="preserve">According to the scope of WID in Rel-18, </w:t>
      </w:r>
      <w:r>
        <w:rPr>
          <w:bCs/>
          <w:lang w:eastAsia="zh-CN"/>
        </w:rPr>
        <w:t xml:space="preserve">QoE reporting handling enhancement for </w:t>
      </w:r>
      <w:r>
        <w:rPr>
          <w:bCs/>
          <w:lang w:eastAsia="zh-CN" w:bidi="ar"/>
        </w:rPr>
        <w:t xml:space="preserve">overload </w:t>
      </w:r>
      <w:r>
        <w:rPr>
          <w:bCs/>
          <w:lang w:eastAsia="zh-CN"/>
        </w:rPr>
        <w:t xml:space="preserve">scenario needs to be discussed. </w:t>
      </w:r>
      <w:r>
        <w:rPr>
          <w:rFonts w:hint="eastAsia"/>
          <w:bCs/>
          <w:lang w:val="en-US" w:eastAsia="zh-CN"/>
        </w:rPr>
        <w:t>Some</w:t>
      </w:r>
      <w:r>
        <w:rPr>
          <w:bCs/>
          <w:lang w:eastAsia="zh-CN"/>
        </w:rPr>
        <w:t xml:space="preserve"> companies support to enhance QoE reporting in overload scenario, </w:t>
      </w:r>
      <w:r>
        <w:rPr>
          <w:rFonts w:hint="eastAsia"/>
          <w:bCs/>
          <w:lang w:val="en-US" w:eastAsia="zh-CN"/>
        </w:rPr>
        <w:t xml:space="preserve">and </w:t>
      </w:r>
      <w:r>
        <w:rPr>
          <w:rFonts w:hint="eastAsia" w:eastAsia="宋体"/>
          <w:bCs/>
          <w:lang w:val="en-US" w:eastAsia="zh-CN"/>
        </w:rPr>
        <w:t xml:space="preserve">RAN2 can decide whether we need </w:t>
      </w:r>
      <w:r>
        <w:rPr>
          <w:rFonts w:eastAsia="宋体"/>
          <w:bCs/>
          <w:lang w:val="en-US" w:eastAsia="zh-CN"/>
        </w:rPr>
        <w:t>‘</w:t>
      </w:r>
      <w:r>
        <w:rPr>
          <w:rFonts w:hint="eastAsia" w:eastAsia="宋体"/>
          <w:bCs/>
          <w:lang w:val="en-US" w:eastAsia="zh-CN"/>
        </w:rPr>
        <w:t>priority</w:t>
      </w:r>
      <w:r>
        <w:rPr>
          <w:rFonts w:eastAsia="宋体"/>
          <w:bCs/>
          <w:lang w:val="en-US" w:eastAsia="zh-CN"/>
        </w:rPr>
        <w:t>’</w:t>
      </w:r>
      <w:r>
        <w:rPr>
          <w:rFonts w:hint="eastAsia" w:eastAsia="宋体"/>
          <w:bCs/>
          <w:lang w:val="en-US" w:eastAsia="zh-CN"/>
        </w:rPr>
        <w:t xml:space="preserve"> directly without RAN3</w:t>
      </w:r>
      <w:r>
        <w:rPr>
          <w:rFonts w:eastAsia="宋体"/>
          <w:bCs/>
          <w:lang w:val="en-US" w:eastAsia="zh-CN"/>
        </w:rPr>
        <w:t>’</w:t>
      </w:r>
      <w:r>
        <w:rPr>
          <w:rFonts w:hint="eastAsia" w:eastAsia="宋体"/>
          <w:bCs/>
          <w:lang w:val="en-US" w:eastAsia="zh-CN"/>
        </w:rPr>
        <w:t>s progress. W</w:t>
      </w:r>
      <w:r>
        <w:rPr>
          <w:bCs/>
          <w:lang w:eastAsia="zh-CN"/>
        </w:rPr>
        <w:t xml:space="preserve">hile </w:t>
      </w:r>
      <w:r>
        <w:rPr>
          <w:rFonts w:hint="eastAsia"/>
          <w:bCs/>
          <w:lang w:val="en-US" w:eastAsia="zh-CN"/>
        </w:rPr>
        <w:t>some other</w:t>
      </w:r>
      <w:r>
        <w:rPr>
          <w:bCs/>
          <w:lang w:eastAsia="zh-CN"/>
        </w:rPr>
        <w:t xml:space="preserve"> companies still have concerns on whether this enhancement is needed and propose to </w:t>
      </w:r>
      <w:r>
        <w:rPr>
          <w:rFonts w:eastAsia="宋体"/>
          <w:lang w:eastAsia="zh-CN"/>
        </w:rPr>
        <w:t>wait for the conclusion or input from RAN3.</w:t>
      </w:r>
      <w:r>
        <w:rPr>
          <w:rFonts w:hint="eastAsia" w:eastAsia="宋体"/>
          <w:lang w:val="en-US" w:eastAsia="zh-CN"/>
        </w:rPr>
        <w:t xml:space="preserve"> </w:t>
      </w:r>
    </w:p>
    <w:p>
      <w:pPr>
        <w:spacing w:before="120" w:after="120" w:line="260" w:lineRule="auto"/>
        <w:jc w:val="both"/>
        <w:rPr>
          <w:rFonts w:hint="default" w:eastAsia="宋体"/>
          <w:bCs/>
          <w:lang w:val="en-US" w:eastAsia="zh-CN"/>
        </w:rPr>
      </w:pPr>
      <w:r>
        <w:rPr>
          <w:rFonts w:hint="eastAsia" w:eastAsia="宋体"/>
          <w:lang w:val="en-US" w:eastAsia="zh-CN"/>
        </w:rPr>
        <w:t xml:space="preserve">In addition, RAN2 discussed whether priority information needs to be sent to UE. We don't think there is a need for both NW-based and UE-based solutions. </w:t>
      </w:r>
      <w:r>
        <w:rPr>
          <w:rFonts w:hint="eastAsia" w:eastAsia="宋体"/>
          <w:bCs/>
          <w:lang w:val="en-US" w:eastAsia="zh-CN"/>
        </w:rPr>
        <w:t>And normally if something can be done by NW without significant burden then we don</w:t>
      </w:r>
      <w:r>
        <w:rPr>
          <w:rFonts w:eastAsia="宋体"/>
          <w:bCs/>
          <w:lang w:val="en-US" w:eastAsia="zh-CN"/>
        </w:rPr>
        <w:t>’</w:t>
      </w:r>
      <w:r>
        <w:rPr>
          <w:rFonts w:hint="eastAsia" w:eastAsia="宋体"/>
          <w:bCs/>
          <w:lang w:val="en-US" w:eastAsia="zh-CN"/>
        </w:rPr>
        <w:t>t introduce UE based solution since the resource in air interface is more limited. Therefore, we think we need to wait for RAN3</w:t>
      </w:r>
      <w:r>
        <w:rPr>
          <w:rFonts w:eastAsia="宋体"/>
          <w:bCs/>
          <w:lang w:val="en-US" w:eastAsia="zh-CN"/>
        </w:rPr>
        <w:t>’</w:t>
      </w:r>
      <w:r>
        <w:rPr>
          <w:rFonts w:hint="eastAsia" w:eastAsia="宋体"/>
          <w:bCs/>
          <w:lang w:val="en-US" w:eastAsia="zh-CN"/>
        </w:rPr>
        <w:t>s conclusion on this topic.</w:t>
      </w:r>
    </w:p>
    <w:p>
      <w:pPr>
        <w:spacing w:before="120" w:after="120" w:line="260" w:lineRule="auto"/>
        <w:jc w:val="both"/>
        <w:rPr>
          <w:rFonts w:hint="default" w:eastAsia="宋体"/>
          <w:lang w:val="en-US" w:eastAsia="zh-CN"/>
        </w:rPr>
      </w:pPr>
      <w:r>
        <w:rPr>
          <w:b/>
          <w:bCs/>
        </w:rPr>
        <w:t>Proposa</w:t>
      </w:r>
      <w:r>
        <w:rPr>
          <w:rFonts w:hint="eastAsia"/>
          <w:b/>
          <w:bCs/>
          <w:lang w:val="en-US" w:eastAsia="zh-CN"/>
        </w:rPr>
        <w:t>l 1</w:t>
      </w:r>
      <w:r>
        <w:rPr>
          <w:b/>
          <w:bCs/>
        </w:rPr>
        <w:t>:</w:t>
      </w:r>
      <w:r>
        <w:rPr>
          <w:rFonts w:hint="eastAsia" w:eastAsia="宋体"/>
          <w:b/>
          <w:bCs/>
          <w:lang w:val="en-US" w:eastAsia="zh-CN"/>
        </w:rPr>
        <w:t xml:space="preserve"> RAN2 waits for RA</w:t>
      </w:r>
      <w:r>
        <w:rPr>
          <w:rFonts w:hint="eastAsia"/>
          <w:b/>
          <w:bCs/>
          <w:strike w:val="0"/>
          <w:dstrike w:val="0"/>
          <w:lang w:val="en-US" w:eastAsia="zh-CN"/>
        </w:rPr>
        <w:t xml:space="preserve">N3’s conclusion </w:t>
      </w:r>
      <w:r>
        <w:rPr>
          <w:rFonts w:hint="eastAsia" w:eastAsia="宋体"/>
          <w:b/>
          <w:bCs/>
          <w:lang w:val="en-US" w:eastAsia="zh-CN"/>
        </w:rPr>
        <w:t>about the</w:t>
      </w:r>
      <w:r>
        <w:rPr>
          <w:rFonts w:hint="eastAsia"/>
          <w:b/>
          <w:bCs/>
          <w:strike w:val="0"/>
          <w:dstrike w:val="0"/>
          <w:lang w:val="en-US" w:eastAsia="zh-CN"/>
        </w:rPr>
        <w:t xml:space="preserve"> overlo</w:t>
      </w:r>
      <w:r>
        <w:rPr>
          <w:rFonts w:hint="eastAsia" w:eastAsia="宋体"/>
          <w:b/>
          <w:bCs/>
          <w:lang w:val="en-US" w:eastAsia="zh-CN"/>
        </w:rPr>
        <w:t>ad scenario enhancement.</w:t>
      </w:r>
    </w:p>
    <w:p>
      <w:pPr>
        <w:pStyle w:val="3"/>
        <w:spacing w:line="360" w:lineRule="auto"/>
      </w:pPr>
      <w:bookmarkStart w:id="0" w:name="OLE_LINK2"/>
      <w:r>
        <w:rPr>
          <w:rStyle w:val="25"/>
          <w:rFonts w:hint="eastAsia" w:ascii="Arial" w:hAnsi="Arial" w:eastAsia="宋体" w:cs="Arial"/>
          <w:b/>
          <w:bCs/>
          <w:color w:val="auto"/>
          <w:lang w:val="en-US" w:eastAsia="zh-CN"/>
        </w:rPr>
        <w:t>R</w:t>
      </w:r>
      <w:r>
        <w:rPr>
          <w:rStyle w:val="25"/>
          <w:rFonts w:ascii="Arial" w:hAnsi="Arial" w:eastAsia="宋体" w:cs="Arial"/>
          <w:b/>
          <w:bCs/>
          <w:color w:val="auto"/>
          <w:lang w:eastAsia="zh-CN"/>
        </w:rPr>
        <w:t xml:space="preserve">AN visible QoE </w:t>
      </w:r>
      <w:r>
        <w:rPr>
          <w:rStyle w:val="25"/>
          <w:rFonts w:ascii="Arial" w:hAnsi="Arial" w:eastAsia="宋体" w:cs="Arial"/>
          <w:b/>
          <w:bCs/>
          <w:color w:val="auto"/>
          <w:lang w:val="en-US" w:eastAsia="zh-CN"/>
        </w:rPr>
        <w:t>enhancements</w:t>
      </w:r>
    </w:p>
    <w:bookmarkEnd w:id="0"/>
    <w:p>
      <w:pPr>
        <w:spacing w:after="120" w:afterLines="50"/>
        <w:jc w:val="both"/>
        <w:rPr>
          <w:rFonts w:hint="eastAsia" w:eastAsia="宋体"/>
          <w:lang w:val="en-US" w:eastAsia="zh-CN"/>
        </w:rPr>
      </w:pPr>
      <w:bookmarkStart w:id="1" w:name="_Hlk83889356"/>
      <w:bookmarkStart w:id="2" w:name="_Hlk83889312"/>
      <w:r>
        <w:rPr>
          <w:rFonts w:hint="eastAsia" w:eastAsia="宋体"/>
          <w:lang w:val="en-US" w:eastAsia="zh-CN"/>
        </w:rPr>
        <w:t xml:space="preserve">An LS [2] is sent from RAN3 to </w:t>
      </w:r>
      <w:r>
        <w:rPr>
          <w:rFonts w:hint="eastAsia" w:eastAsia="宋体"/>
          <w:lang w:val="en-US" w:eastAsia="ja-JP"/>
        </w:rPr>
        <w:t>RAN2</w:t>
      </w:r>
      <w:r>
        <w:rPr>
          <w:rFonts w:hint="eastAsia" w:eastAsia="宋体"/>
          <w:lang w:val="en-US" w:eastAsia="zh-CN"/>
        </w:rPr>
        <w:t xml:space="preserve"> as following</w:t>
      </w:r>
      <w:r>
        <w:rPr>
          <w:rFonts w:hint="eastAsia" w:eastAsia="宋体"/>
          <w:lang w:val="en-US" w:eastAsia="ja-JP"/>
        </w:rPr>
        <w:t xml:space="preserve"> </w:t>
      </w:r>
      <w:r>
        <w:rPr>
          <w:rFonts w:hint="eastAsia" w:eastAsia="宋体"/>
          <w:lang w:val="en-US" w:eastAsia="zh-CN"/>
        </w:rPr>
        <w:t>indicating that</w:t>
      </w:r>
      <w:r>
        <w:rPr>
          <w:rFonts w:hint="eastAsia" w:eastAsia="宋体"/>
          <w:lang w:val="en-US" w:eastAsia="ja-JP"/>
        </w:rPr>
        <w:t xml:space="preserve"> RAN3 has agreed </w:t>
      </w:r>
      <w:r>
        <w:rPr>
          <w:rFonts w:hint="eastAsia" w:ascii="Times New Roman" w:hAnsi="Times New Roman" w:eastAsia="宋体" w:cstheme="minorBidi"/>
          <w:lang w:eastAsia="ja-JP"/>
        </w:rPr>
        <w:t>to introduce the QoS flow ID(s) per PDU session ID associated to the RAN visible QoE measurements in the RAN visible QoE report over Uu</w:t>
      </w:r>
      <w:r>
        <w:rPr>
          <w:rFonts w:hint="eastAsia" w:eastAsia="宋体"/>
          <w:lang w:val="en-US" w:eastAsia="ja-JP"/>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pBdr>
                <w:top w:val="single" w:color="auto" w:sz="12" w:space="3"/>
              </w:pBdr>
              <w:overflowPunct w:val="0"/>
              <w:spacing w:before="240" w:line="240" w:lineRule="auto"/>
              <w:ind w:left="1134" w:hanging="1134"/>
              <w:textAlignment w:val="baseline"/>
              <w:outlineLvl w:val="0"/>
              <w:rPr>
                <w:rFonts w:ascii="Arial" w:hAnsi="Arial" w:eastAsia="DengXian"/>
                <w:sz w:val="20"/>
                <w:szCs w:val="20"/>
                <w:lang w:eastAsia="en-GB"/>
              </w:rPr>
            </w:pPr>
            <w:r>
              <w:rPr>
                <w:rFonts w:ascii="Arial" w:hAnsi="Arial" w:eastAsia="DengXian"/>
                <w:sz w:val="20"/>
                <w:szCs w:val="20"/>
                <w:lang w:eastAsia="en-GB"/>
              </w:rPr>
              <w:t>1</w:t>
            </w:r>
            <w:r>
              <w:rPr>
                <w:rFonts w:ascii="Arial" w:hAnsi="Arial" w:eastAsia="DengXian"/>
                <w:sz w:val="28"/>
                <w:szCs w:val="28"/>
                <w:lang w:eastAsia="en-GB"/>
              </w:rPr>
              <w:tab/>
            </w:r>
            <w:r>
              <w:rPr>
                <w:rFonts w:ascii="Arial" w:hAnsi="Arial" w:eastAsia="DengXian"/>
                <w:sz w:val="28"/>
                <w:szCs w:val="28"/>
                <w:lang w:eastAsia="en-GB"/>
              </w:rPr>
              <w:t>Overall description</w:t>
            </w:r>
          </w:p>
          <w:p>
            <w:pPr>
              <w:spacing w:line="240" w:lineRule="auto"/>
              <w:rPr>
                <w:rFonts w:ascii="Arial" w:hAnsi="Arial" w:eastAsia="DengXian" w:cs="Arial"/>
                <w:sz w:val="20"/>
                <w:szCs w:val="20"/>
              </w:rPr>
            </w:pPr>
            <w:r>
              <w:rPr>
                <w:rFonts w:ascii="Arial" w:hAnsi="Arial" w:eastAsia="DengXian" w:cs="Arial"/>
                <w:sz w:val="20"/>
                <w:szCs w:val="20"/>
              </w:rPr>
              <w:t>RAN3 would like to inform RAN2 that RAN3 has agreed to introduce the QoS flow ID(s) per PDU session ID associated to the RAN visible QoE measurements in the RAN visible QoE report over Uu, which should have the same presence as PDU session ID(s).</w:t>
            </w:r>
          </w:p>
          <w:p>
            <w:pPr>
              <w:keepNext/>
              <w:keepLines/>
              <w:pBdr>
                <w:top w:val="single" w:color="auto" w:sz="12" w:space="3"/>
              </w:pBdr>
              <w:overflowPunct w:val="0"/>
              <w:spacing w:before="240" w:line="240" w:lineRule="auto"/>
              <w:ind w:left="1134" w:hanging="1134"/>
              <w:textAlignment w:val="baseline"/>
              <w:outlineLvl w:val="0"/>
              <w:rPr>
                <w:rFonts w:ascii="Arial" w:hAnsi="Arial" w:eastAsia="DengXian"/>
                <w:sz w:val="28"/>
                <w:szCs w:val="28"/>
                <w:lang w:eastAsia="en-GB"/>
              </w:rPr>
            </w:pPr>
            <w:r>
              <w:rPr>
                <w:rFonts w:ascii="Arial" w:hAnsi="Arial" w:eastAsia="DengXian"/>
                <w:sz w:val="28"/>
                <w:szCs w:val="28"/>
                <w:lang w:eastAsia="en-GB"/>
              </w:rPr>
              <w:t>2</w:t>
            </w:r>
            <w:r>
              <w:rPr>
                <w:rFonts w:ascii="Arial" w:hAnsi="Arial" w:eastAsia="DengXian"/>
                <w:sz w:val="28"/>
                <w:szCs w:val="28"/>
                <w:lang w:eastAsia="en-GB"/>
              </w:rPr>
              <w:tab/>
            </w:r>
            <w:r>
              <w:rPr>
                <w:rFonts w:ascii="Arial" w:hAnsi="Arial" w:eastAsia="DengXian"/>
                <w:sz w:val="28"/>
                <w:szCs w:val="28"/>
                <w:lang w:eastAsia="en-GB"/>
              </w:rPr>
              <w:t>Actions</w:t>
            </w:r>
          </w:p>
          <w:p>
            <w:pPr>
              <w:overflowPunct w:val="0"/>
              <w:spacing w:after="120" w:line="240" w:lineRule="auto"/>
              <w:ind w:left="1985" w:hanging="1985"/>
              <w:textAlignment w:val="baseline"/>
              <w:rPr>
                <w:rFonts w:ascii="Arial" w:hAnsi="Arial" w:eastAsia="DengXian" w:cs="Arial"/>
                <w:b/>
                <w:sz w:val="20"/>
                <w:szCs w:val="20"/>
                <w:lang w:eastAsia="en-GB"/>
              </w:rPr>
            </w:pPr>
            <w:r>
              <w:rPr>
                <w:rFonts w:ascii="Arial" w:hAnsi="Arial" w:eastAsia="DengXian" w:cs="Arial"/>
                <w:b/>
                <w:sz w:val="20"/>
                <w:szCs w:val="20"/>
                <w:lang w:eastAsia="en-GB"/>
              </w:rPr>
              <w:t>To RAN2:</w:t>
            </w:r>
          </w:p>
          <w:p>
            <w:pPr>
              <w:overflowPunct w:val="0"/>
              <w:spacing w:after="120" w:line="240" w:lineRule="auto"/>
              <w:ind w:left="993" w:hanging="993"/>
              <w:textAlignment w:val="baseline"/>
              <w:rPr>
                <w:rFonts w:ascii="Arial" w:hAnsi="Arial" w:eastAsia="DengXian" w:cs="Arial"/>
                <w:b/>
                <w:sz w:val="20"/>
                <w:szCs w:val="20"/>
                <w:lang w:eastAsia="en-GB"/>
              </w:rPr>
            </w:pPr>
            <w:r>
              <w:rPr>
                <w:rFonts w:ascii="Arial" w:hAnsi="Arial" w:eastAsia="DengXian" w:cs="Arial"/>
                <w:b/>
                <w:sz w:val="20"/>
                <w:szCs w:val="20"/>
                <w:lang w:eastAsia="en-GB"/>
              </w:rPr>
              <w:t xml:space="preserve">ACTION: </w:t>
            </w:r>
            <w:r>
              <w:rPr>
                <w:rFonts w:ascii="Arial" w:hAnsi="Arial" w:eastAsia="DengXian" w:cs="Arial"/>
                <w:b/>
                <w:sz w:val="20"/>
                <w:szCs w:val="20"/>
                <w:lang w:eastAsia="en-GB"/>
              </w:rPr>
              <w:tab/>
            </w:r>
            <w:r>
              <w:rPr>
                <w:rFonts w:ascii="Arial" w:hAnsi="Arial" w:eastAsia="DengXian" w:cs="Arial"/>
                <w:b/>
                <w:sz w:val="20"/>
                <w:szCs w:val="20"/>
                <w:lang w:eastAsia="en-GB"/>
              </w:rPr>
              <w:t>RAN3 kindly asks RAN2 to take the agreement above into account and</w:t>
            </w:r>
            <w:r>
              <w:rPr>
                <w:rFonts w:hint="eastAsia" w:ascii="Arial" w:hAnsi="Arial" w:eastAsia="DengXian" w:cs="Arial"/>
                <w:b/>
                <w:sz w:val="20"/>
                <w:szCs w:val="20"/>
                <w:lang w:val="en-US" w:eastAsia="zh-CN"/>
              </w:rPr>
              <w:t xml:space="preserve"> </w:t>
            </w:r>
            <w:r>
              <w:rPr>
                <w:rFonts w:ascii="Arial" w:hAnsi="Arial" w:eastAsia="DengXian" w:cs="Arial"/>
                <w:b/>
                <w:sz w:val="20"/>
                <w:szCs w:val="20"/>
                <w:lang w:val="en-US" w:eastAsia="zh-CN"/>
              </w:rPr>
              <w:t>provide necessary specification support.</w:t>
            </w:r>
          </w:p>
          <w:p>
            <w:pPr>
              <w:overflowPunct/>
              <w:autoSpaceDE/>
              <w:autoSpaceDN/>
              <w:adjustRightInd/>
              <w:spacing w:before="120" w:after="0"/>
              <w:jc w:val="left"/>
              <w:textAlignment w:val="auto"/>
              <w:rPr>
                <w:rFonts w:hint="eastAsia"/>
                <w:color w:val="FF0000"/>
                <w:vertAlign w:val="baseline"/>
              </w:rPr>
            </w:pPr>
          </w:p>
        </w:tc>
      </w:tr>
    </w:tbl>
    <w:p>
      <w:pPr>
        <w:spacing w:after="120" w:afterLines="50"/>
        <w:jc w:val="both"/>
        <w:rPr>
          <w:rFonts w:hint="eastAsia" w:cs="Times New Roman"/>
          <w:bCs/>
          <w:lang w:val="en-US" w:eastAsia="zh-CN"/>
        </w:rPr>
      </w:pPr>
    </w:p>
    <w:p>
      <w:pPr>
        <w:spacing w:after="120" w:afterLines="50"/>
        <w:jc w:val="both"/>
        <w:rPr>
          <w:rFonts w:hint="eastAsia" w:eastAsia="宋体"/>
          <w:lang w:val="en-US" w:eastAsia="zh-CN"/>
        </w:rPr>
      </w:pPr>
      <w:r>
        <w:rPr>
          <w:rFonts w:hint="eastAsia" w:eastAsia="宋体"/>
          <w:color w:val="auto"/>
          <w:lang w:val="en-US" w:eastAsia="zh-CN"/>
        </w:rPr>
        <w:t>Based on the above LS,</w:t>
      </w:r>
      <w:r>
        <w:rPr>
          <w:rFonts w:hint="eastAsia" w:cs="Times New Roman"/>
          <w:bCs/>
          <w:lang w:val="en-US" w:eastAsia="zh-CN"/>
        </w:rPr>
        <w:t xml:space="preserve"> </w:t>
      </w:r>
      <w:r>
        <w:rPr>
          <w:rFonts w:hint="eastAsia" w:eastAsia="宋体"/>
          <w:lang w:val="en-US" w:eastAsia="zh-CN"/>
        </w:rPr>
        <w:t>a PDU session can correspond to one or more QoS flow, and a DRB can correspond to one or more QoS flow. In other words, RAN can know the corresponding DRB through a QoS flow ID. Therefore, it is sufficient to include QoS flow ID in RVQoE report information.</w:t>
      </w:r>
    </w:p>
    <w:p>
      <w:pPr>
        <w:spacing w:after="120" w:afterLines="50"/>
        <w:jc w:val="both"/>
        <w:rPr>
          <w:rFonts w:hint="eastAsia"/>
          <w:iCs/>
          <w:lang w:val="en-CA"/>
        </w:rPr>
      </w:pPr>
      <w:r>
        <w:rPr>
          <w:rFonts w:hint="eastAsia"/>
          <w:b/>
          <w:bCs/>
          <w:strike w:val="0"/>
          <w:dstrike w:val="0"/>
          <w:lang w:val="en-US" w:eastAsia="zh-CN"/>
        </w:rPr>
        <w:t>Proposal 2: Introduce the QoS flows ID information in the RVQoE reporting from the UE.</w:t>
      </w:r>
    </w:p>
    <w:p>
      <w:pPr>
        <w:pStyle w:val="2"/>
        <w:rPr>
          <w:rFonts w:cs="Arial"/>
          <w:b/>
          <w:lang w:val="en-US"/>
        </w:rPr>
      </w:pPr>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before="120" w:after="120" w:line="260" w:lineRule="auto"/>
        <w:jc w:val="both"/>
        <w:rPr>
          <w:rFonts w:hint="default" w:eastAsia="宋体"/>
          <w:lang w:val="en-US" w:eastAsia="zh-CN"/>
        </w:rPr>
      </w:pPr>
      <w:r>
        <w:rPr>
          <w:b/>
          <w:bCs/>
        </w:rPr>
        <w:t>Proposa</w:t>
      </w:r>
      <w:r>
        <w:rPr>
          <w:rFonts w:hint="eastAsia"/>
          <w:b/>
          <w:bCs/>
          <w:lang w:val="en-US" w:eastAsia="zh-CN"/>
        </w:rPr>
        <w:t>l 1</w:t>
      </w:r>
      <w:r>
        <w:rPr>
          <w:b/>
          <w:bCs/>
        </w:rPr>
        <w:t>:</w:t>
      </w:r>
      <w:r>
        <w:rPr>
          <w:rFonts w:hint="eastAsia" w:eastAsia="宋体"/>
          <w:b/>
          <w:bCs/>
          <w:lang w:val="en-US" w:eastAsia="zh-CN"/>
        </w:rPr>
        <w:t xml:space="preserve"> RAN2 waits for RA</w:t>
      </w:r>
      <w:r>
        <w:rPr>
          <w:rFonts w:hint="eastAsia"/>
          <w:b/>
          <w:bCs/>
          <w:strike w:val="0"/>
          <w:dstrike w:val="0"/>
          <w:lang w:val="en-US" w:eastAsia="zh-CN"/>
        </w:rPr>
        <w:t xml:space="preserve">N3’s conclusion </w:t>
      </w:r>
      <w:r>
        <w:rPr>
          <w:rFonts w:hint="eastAsia" w:eastAsia="宋体"/>
          <w:b/>
          <w:bCs/>
          <w:lang w:val="en-US" w:eastAsia="zh-CN"/>
        </w:rPr>
        <w:t>about the</w:t>
      </w:r>
      <w:r>
        <w:rPr>
          <w:rFonts w:hint="eastAsia"/>
          <w:b/>
          <w:bCs/>
          <w:strike w:val="0"/>
          <w:dstrike w:val="0"/>
          <w:lang w:val="en-US" w:eastAsia="zh-CN"/>
        </w:rPr>
        <w:t xml:space="preserve"> overlo</w:t>
      </w:r>
      <w:r>
        <w:rPr>
          <w:rFonts w:hint="eastAsia" w:eastAsia="宋体"/>
          <w:b/>
          <w:bCs/>
          <w:lang w:val="en-US" w:eastAsia="zh-CN"/>
        </w:rPr>
        <w:t>ad scenario enhancement.</w:t>
      </w:r>
    </w:p>
    <w:p>
      <w:pPr>
        <w:spacing w:after="120" w:afterLines="50"/>
        <w:jc w:val="both"/>
        <w:rPr>
          <w:rFonts w:hint="eastAsia"/>
          <w:iCs/>
          <w:lang w:val="en-CA"/>
        </w:rPr>
      </w:pPr>
      <w:r>
        <w:rPr>
          <w:rFonts w:hint="eastAsia"/>
          <w:b/>
          <w:bCs/>
          <w:strike w:val="0"/>
          <w:dstrike w:val="0"/>
          <w:lang w:val="en-US" w:eastAsia="zh-CN"/>
        </w:rPr>
        <w:t>Proposal 2: I</w:t>
      </w:r>
      <w:bookmarkStart w:id="5" w:name="_GoBack"/>
      <w:bookmarkEnd w:id="5"/>
      <w:r>
        <w:rPr>
          <w:rFonts w:hint="eastAsia"/>
          <w:b/>
          <w:bCs/>
          <w:strike w:val="0"/>
          <w:dstrike w:val="0"/>
          <w:lang w:val="en-US" w:eastAsia="zh-CN"/>
        </w:rPr>
        <w:t>ntroduce the QoS flows ID information in the RVQoE reporting from the UE.</w:t>
      </w:r>
    </w:p>
    <w:p>
      <w:pPr>
        <w:spacing w:before="120" w:after="120" w:line="260" w:lineRule="auto"/>
        <w:jc w:val="both"/>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5"/>
        <w:numPr>
          <w:ilvl w:val="0"/>
          <w:numId w:val="10"/>
        </w:numPr>
        <w:ind w:firstLineChars="0"/>
        <w:rPr>
          <w:rFonts w:cs="Arial"/>
          <w:color w:val="000000"/>
        </w:rPr>
      </w:pPr>
      <w:bookmarkStart w:id="4"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45"/>
        <w:numPr>
          <w:ilvl w:val="0"/>
          <w:numId w:val="10"/>
        </w:numPr>
        <w:ind w:firstLineChars="0"/>
        <w:rPr>
          <w:rFonts w:cs="Arial"/>
          <w:color w:val="000000"/>
        </w:rPr>
      </w:pPr>
      <w:r>
        <w:rPr>
          <w:rFonts w:hint="eastAsia" w:eastAsia="宋体" w:cs="Arial"/>
          <w:color w:val="000000"/>
          <w:lang w:val="en-US" w:eastAsia="zh-CN"/>
        </w:rPr>
        <w:t xml:space="preserve">R2-2211166, LS </w:t>
      </w:r>
      <w:r>
        <w:rPr>
          <w:rFonts w:hint="eastAsia" w:ascii="Times New Roman" w:hAnsi="Times New Roman" w:eastAsia="宋体" w:cs="Arial"/>
          <w:b w:val="0"/>
          <w:color w:val="000000"/>
          <w:sz w:val="22"/>
          <w:lang w:eastAsia="zh-CN"/>
        </w:rPr>
        <w:t>on including QoS flow information in the RAN visible QoE report over Uu</w:t>
      </w:r>
      <w:r>
        <w:rPr>
          <w:rFonts w:hint="eastAsia" w:eastAsia="宋体" w:cs="Arial"/>
          <w:color w:val="000000"/>
          <w:lang w:val="en-US" w:eastAsia="zh-CN"/>
        </w:rPr>
        <w:t>, November,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SimSun">
    <w:panose1 w:val="02010600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DengXian">
    <w:panose1 w:val="02010600030101010101"/>
    <w:charset w:val="86"/>
    <w:family w:val="auto"/>
    <w:pitch w:val="default"/>
    <w:sig w:usb0="A00002BF" w:usb1="38CF7CFA" w:usb2="00000016" w:usb3="00000000" w:csb0="0004000F" w:csb1="00000000"/>
  </w:font>
  <w:font w:name="游明朝">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8"/>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64"/>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9"/>
  </w:num>
  <w:num w:numId="3">
    <w:abstractNumId w:val="4"/>
  </w:num>
  <w:num w:numId="4">
    <w:abstractNumId w:val="7"/>
  </w:num>
  <w:num w:numId="5">
    <w:abstractNumId w:val="8"/>
  </w:num>
  <w:num w:numId="6">
    <w:abstractNumId w:val="0"/>
  </w:num>
  <w:num w:numId="7">
    <w:abstractNumId w:val="1"/>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70A7848"/>
    <w:rsid w:val="0E3E9496"/>
    <w:rsid w:val="0F0EE4C1"/>
    <w:rsid w:val="121A43C3"/>
    <w:rsid w:val="12496A3B"/>
    <w:rsid w:val="14743F25"/>
    <w:rsid w:val="15A77CF7"/>
    <w:rsid w:val="15EFE608"/>
    <w:rsid w:val="16702F8D"/>
    <w:rsid w:val="1D856F77"/>
    <w:rsid w:val="1D954282"/>
    <w:rsid w:val="1DFBF6E4"/>
    <w:rsid w:val="1F4C11C0"/>
    <w:rsid w:val="1FBF83AB"/>
    <w:rsid w:val="1FED5282"/>
    <w:rsid w:val="24BE5892"/>
    <w:rsid w:val="26882CCD"/>
    <w:rsid w:val="26F7BF4C"/>
    <w:rsid w:val="26FF6E60"/>
    <w:rsid w:val="27E3EBE6"/>
    <w:rsid w:val="297DC4A8"/>
    <w:rsid w:val="2F8E5407"/>
    <w:rsid w:val="2FDFBC24"/>
    <w:rsid w:val="2FF4512B"/>
    <w:rsid w:val="315601A1"/>
    <w:rsid w:val="316A5656"/>
    <w:rsid w:val="31FE24B3"/>
    <w:rsid w:val="326A457D"/>
    <w:rsid w:val="34674028"/>
    <w:rsid w:val="36EE39A5"/>
    <w:rsid w:val="39F73F8B"/>
    <w:rsid w:val="3A00635D"/>
    <w:rsid w:val="3A6D81E3"/>
    <w:rsid w:val="3BE3D02D"/>
    <w:rsid w:val="3BFF0C49"/>
    <w:rsid w:val="3E985826"/>
    <w:rsid w:val="3F6203BF"/>
    <w:rsid w:val="3FDFC7E2"/>
    <w:rsid w:val="3FFA43A6"/>
    <w:rsid w:val="3FFADB85"/>
    <w:rsid w:val="3FFD8422"/>
    <w:rsid w:val="456D246E"/>
    <w:rsid w:val="457B68DE"/>
    <w:rsid w:val="462420DE"/>
    <w:rsid w:val="4693A455"/>
    <w:rsid w:val="49CE6A7E"/>
    <w:rsid w:val="49D1242C"/>
    <w:rsid w:val="539C2A0E"/>
    <w:rsid w:val="53DBFC72"/>
    <w:rsid w:val="54140328"/>
    <w:rsid w:val="54576F87"/>
    <w:rsid w:val="55FD291D"/>
    <w:rsid w:val="56DD3CBA"/>
    <w:rsid w:val="570E7D91"/>
    <w:rsid w:val="5A49DD30"/>
    <w:rsid w:val="5A874152"/>
    <w:rsid w:val="5B0F4579"/>
    <w:rsid w:val="5B47CE77"/>
    <w:rsid w:val="5BBF1214"/>
    <w:rsid w:val="5EB79E98"/>
    <w:rsid w:val="5EE6136B"/>
    <w:rsid w:val="5F236657"/>
    <w:rsid w:val="5F329599"/>
    <w:rsid w:val="5F36E46B"/>
    <w:rsid w:val="5FBF9D58"/>
    <w:rsid w:val="60A80188"/>
    <w:rsid w:val="62FF9A58"/>
    <w:rsid w:val="63CED363"/>
    <w:rsid w:val="677BB4E2"/>
    <w:rsid w:val="67E56CE4"/>
    <w:rsid w:val="67EF6FDE"/>
    <w:rsid w:val="6843BC62"/>
    <w:rsid w:val="68F7816C"/>
    <w:rsid w:val="691275D4"/>
    <w:rsid w:val="6962E34B"/>
    <w:rsid w:val="69E5BA5C"/>
    <w:rsid w:val="6AEC7E8E"/>
    <w:rsid w:val="6B0278D1"/>
    <w:rsid w:val="6C286E44"/>
    <w:rsid w:val="6C76434F"/>
    <w:rsid w:val="6CA8A0BD"/>
    <w:rsid w:val="6CF94B0A"/>
    <w:rsid w:val="6D074150"/>
    <w:rsid w:val="6E6F6473"/>
    <w:rsid w:val="6EBD79AA"/>
    <w:rsid w:val="6EDFE721"/>
    <w:rsid w:val="6F3799A2"/>
    <w:rsid w:val="6F7E335F"/>
    <w:rsid w:val="6FC7F1BE"/>
    <w:rsid w:val="71B722E2"/>
    <w:rsid w:val="71CC12A9"/>
    <w:rsid w:val="727428C1"/>
    <w:rsid w:val="737F5333"/>
    <w:rsid w:val="73FF9F8C"/>
    <w:rsid w:val="74FD72C0"/>
    <w:rsid w:val="757BF952"/>
    <w:rsid w:val="75F73910"/>
    <w:rsid w:val="767F27D6"/>
    <w:rsid w:val="76F43E69"/>
    <w:rsid w:val="772E1279"/>
    <w:rsid w:val="77EECA84"/>
    <w:rsid w:val="79E13B9D"/>
    <w:rsid w:val="7A6E44C1"/>
    <w:rsid w:val="7AA3A95B"/>
    <w:rsid w:val="7AA9E0DC"/>
    <w:rsid w:val="7AD659AC"/>
    <w:rsid w:val="7B751B3D"/>
    <w:rsid w:val="7BF5E087"/>
    <w:rsid w:val="7BFBF581"/>
    <w:rsid w:val="7BFF0811"/>
    <w:rsid w:val="7CB56E6F"/>
    <w:rsid w:val="7DB7BF42"/>
    <w:rsid w:val="7DBB01E5"/>
    <w:rsid w:val="7E6FD489"/>
    <w:rsid w:val="7E7F0942"/>
    <w:rsid w:val="7EB31986"/>
    <w:rsid w:val="7EBF876E"/>
    <w:rsid w:val="7EEEEF79"/>
    <w:rsid w:val="7EF62DE7"/>
    <w:rsid w:val="7F7D7656"/>
    <w:rsid w:val="7F7F5DD9"/>
    <w:rsid w:val="7F992501"/>
    <w:rsid w:val="7FA2C79D"/>
    <w:rsid w:val="7FBF218E"/>
    <w:rsid w:val="7FC78FD6"/>
    <w:rsid w:val="7FE3032F"/>
    <w:rsid w:val="7FEB0888"/>
    <w:rsid w:val="7FEC6F91"/>
    <w:rsid w:val="9577770E"/>
    <w:rsid w:val="9BAE45FC"/>
    <w:rsid w:val="9D49C29B"/>
    <w:rsid w:val="A3DE6C07"/>
    <w:rsid w:val="A3ED7D3E"/>
    <w:rsid w:val="AAD38468"/>
    <w:rsid w:val="ABEE53F4"/>
    <w:rsid w:val="AEFFB241"/>
    <w:rsid w:val="B57E36BC"/>
    <w:rsid w:val="B6ED9DD7"/>
    <w:rsid w:val="BAFE1D88"/>
    <w:rsid w:val="BB6C1E6C"/>
    <w:rsid w:val="BBCB115D"/>
    <w:rsid w:val="BCF5EDDE"/>
    <w:rsid w:val="BD99F075"/>
    <w:rsid w:val="BE7E8A05"/>
    <w:rsid w:val="BEBFB4D1"/>
    <w:rsid w:val="BF2721DF"/>
    <w:rsid w:val="BF3F4E4A"/>
    <w:rsid w:val="BF57FC46"/>
    <w:rsid w:val="BF5FAE7F"/>
    <w:rsid w:val="BFBCA0CF"/>
    <w:rsid w:val="BFCEF061"/>
    <w:rsid w:val="BFDF84EB"/>
    <w:rsid w:val="BFF3D3D2"/>
    <w:rsid w:val="BFF76D42"/>
    <w:rsid w:val="BFF90683"/>
    <w:rsid w:val="C7FF8FB4"/>
    <w:rsid w:val="CB91F186"/>
    <w:rsid w:val="CBFF8685"/>
    <w:rsid w:val="CF4714AE"/>
    <w:rsid w:val="D37F4C68"/>
    <w:rsid w:val="D575FC31"/>
    <w:rsid w:val="D7E72850"/>
    <w:rsid w:val="D7F6DA9A"/>
    <w:rsid w:val="D8D5F5FA"/>
    <w:rsid w:val="D9A77203"/>
    <w:rsid w:val="DA3D3284"/>
    <w:rsid w:val="DBF91EB3"/>
    <w:rsid w:val="DDFF1BDE"/>
    <w:rsid w:val="DEFC8A9A"/>
    <w:rsid w:val="DF376FD3"/>
    <w:rsid w:val="DFBEF7FB"/>
    <w:rsid w:val="DFED06EF"/>
    <w:rsid w:val="E4BF6A47"/>
    <w:rsid w:val="E83D41F3"/>
    <w:rsid w:val="EBF78488"/>
    <w:rsid w:val="ED5FB71C"/>
    <w:rsid w:val="EEB48D11"/>
    <w:rsid w:val="EEDFF5E9"/>
    <w:rsid w:val="F2FF8C5C"/>
    <w:rsid w:val="F3775739"/>
    <w:rsid w:val="F63F3C85"/>
    <w:rsid w:val="F6EF8C91"/>
    <w:rsid w:val="F6FC273B"/>
    <w:rsid w:val="F79D2B10"/>
    <w:rsid w:val="F7BCCA50"/>
    <w:rsid w:val="F7EE4F89"/>
    <w:rsid w:val="F7FFC831"/>
    <w:rsid w:val="F8EFD4B1"/>
    <w:rsid w:val="F9B7C2FB"/>
    <w:rsid w:val="F9BFB2A1"/>
    <w:rsid w:val="FADD67B2"/>
    <w:rsid w:val="FB4E9BD6"/>
    <w:rsid w:val="FBEFE8AE"/>
    <w:rsid w:val="FBF7563B"/>
    <w:rsid w:val="FBFFA049"/>
    <w:rsid w:val="FC71C2BC"/>
    <w:rsid w:val="FCCECD9C"/>
    <w:rsid w:val="FCF704CC"/>
    <w:rsid w:val="FCFB4383"/>
    <w:rsid w:val="FD9EE88A"/>
    <w:rsid w:val="FDE71F62"/>
    <w:rsid w:val="FDFF4BA5"/>
    <w:rsid w:val="FDFFA44C"/>
    <w:rsid w:val="FE7F7616"/>
    <w:rsid w:val="FEFE0680"/>
    <w:rsid w:val="FF65430A"/>
    <w:rsid w:val="FF773F42"/>
    <w:rsid w:val="FF9F2F1D"/>
    <w:rsid w:val="FFBBE741"/>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0"/>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1"/>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2"/>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3"/>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4"/>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5"/>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6"/>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7"/>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7"/>
    <w:unhideWhenUsed/>
    <w:qFormat/>
    <w:uiPriority w:val="99"/>
    <w:pPr>
      <w:spacing w:line="240" w:lineRule="auto"/>
    </w:pPr>
    <w:rPr>
      <w:sz w:val="20"/>
      <w:szCs w:val="20"/>
    </w:rPr>
  </w:style>
  <w:style w:type="paragraph" w:styleId="13">
    <w:name w:val="Body Text"/>
    <w:basedOn w:val="1"/>
    <w:link w:val="40"/>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6"/>
    <w:semiHidden/>
    <w:unhideWhenUsed/>
    <w:qFormat/>
    <w:uiPriority w:val="99"/>
    <w:pPr>
      <w:spacing w:after="0" w:line="240" w:lineRule="auto"/>
    </w:pPr>
    <w:rPr>
      <w:rFonts w:ascii="Segoe UI" w:hAnsi="Segoe UI" w:cs="Segoe UI"/>
      <w:sz w:val="18"/>
      <w:szCs w:val="18"/>
    </w:rPr>
  </w:style>
  <w:style w:type="paragraph" w:styleId="16">
    <w:name w:val="footer"/>
    <w:basedOn w:val="1"/>
    <w:link w:val="39"/>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3"/>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5"/>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8"/>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16"/>
      <w:szCs w:val="16"/>
    </w:rPr>
  </w:style>
  <w:style w:type="character" w:customStyle="1" w:styleId="29">
    <w:name w:val="Heading 1 Char"/>
    <w:basedOn w:val="24"/>
    <w:link w:val="2"/>
    <w:qFormat/>
    <w:uiPriority w:val="0"/>
    <w:rPr>
      <w:rFonts w:ascii="Arial" w:hAnsi="Arial" w:eastAsia="Times New Roman" w:cs="Times New Roman"/>
      <w:sz w:val="36"/>
      <w:szCs w:val="20"/>
      <w:lang w:val="en-GB" w:eastAsia="ja-JP"/>
    </w:rPr>
  </w:style>
  <w:style w:type="character" w:customStyle="1" w:styleId="30">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1">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2">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3">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4">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5">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6">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7">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8">
    <w:name w:val="3GPP_Header"/>
    <w:basedOn w:val="13"/>
    <w:qFormat/>
    <w:uiPriority w:val="0"/>
    <w:pPr>
      <w:tabs>
        <w:tab w:val="left" w:pos="1701"/>
        <w:tab w:val="right" w:pos="9639"/>
      </w:tabs>
      <w:spacing w:after="240"/>
    </w:pPr>
    <w:rPr>
      <w:b/>
      <w:sz w:val="24"/>
    </w:rPr>
  </w:style>
  <w:style w:type="character" w:customStyle="1" w:styleId="39">
    <w:name w:val="Footer Char"/>
    <w:basedOn w:val="24"/>
    <w:link w:val="16"/>
    <w:qFormat/>
    <w:uiPriority w:val="0"/>
    <w:rPr>
      <w:rFonts w:ascii="Arial" w:hAnsi="Arial" w:eastAsia="Times New Roman" w:cs="Times New Roman"/>
      <w:b/>
      <w:i/>
      <w:sz w:val="18"/>
      <w:szCs w:val="20"/>
      <w:lang w:val="en-GB" w:eastAsia="ja-JP"/>
    </w:rPr>
  </w:style>
  <w:style w:type="character" w:customStyle="1" w:styleId="40">
    <w:name w:val="Body Text Char"/>
    <w:basedOn w:val="24"/>
    <w:link w:val="13"/>
    <w:qFormat/>
    <w:uiPriority w:val="0"/>
    <w:rPr>
      <w:rFonts w:ascii="Arial" w:hAnsi="Arial"/>
    </w:rPr>
  </w:style>
  <w:style w:type="paragraph" w:customStyle="1" w:styleId="41">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2">
    <w:name w:val="Observation"/>
    <w:basedOn w:val="41"/>
    <w:qFormat/>
    <w:uiPriority w:val="0"/>
    <w:pPr>
      <w:numPr>
        <w:ilvl w:val="0"/>
        <w:numId w:val="4"/>
      </w:numPr>
    </w:pPr>
    <w:rPr>
      <w:lang w:eastAsia="ja-JP"/>
    </w:rPr>
  </w:style>
  <w:style w:type="character" w:customStyle="1" w:styleId="43">
    <w:name w:val="Header Char"/>
    <w:basedOn w:val="24"/>
    <w:link w:val="17"/>
    <w:qFormat/>
    <w:uiPriority w:val="99"/>
  </w:style>
  <w:style w:type="character" w:customStyle="1" w:styleId="44">
    <w:name w:val="Unresolved Mention"/>
    <w:basedOn w:val="24"/>
    <w:unhideWhenUsed/>
    <w:qFormat/>
    <w:uiPriority w:val="99"/>
    <w:rPr>
      <w:color w:val="605E5C"/>
      <w:shd w:val="clear" w:color="auto" w:fill="E1DFDD"/>
    </w:rPr>
  </w:style>
  <w:style w:type="paragraph" w:styleId="45">
    <w:name w:val="List Paragraph"/>
    <w:basedOn w:val="1"/>
    <w:link w:val="60"/>
    <w:qFormat/>
    <w:uiPriority w:val="34"/>
    <w:pPr>
      <w:ind w:left="720"/>
      <w:contextualSpacing/>
    </w:pPr>
  </w:style>
  <w:style w:type="character" w:customStyle="1" w:styleId="46">
    <w:name w:val="Balloon Text Char"/>
    <w:basedOn w:val="24"/>
    <w:link w:val="15"/>
    <w:semiHidden/>
    <w:qFormat/>
    <w:uiPriority w:val="99"/>
    <w:rPr>
      <w:rFonts w:ascii="Segoe UI" w:hAnsi="Segoe UI" w:cs="Segoe UI"/>
      <w:sz w:val="18"/>
      <w:szCs w:val="18"/>
    </w:rPr>
  </w:style>
  <w:style w:type="character" w:customStyle="1" w:styleId="47">
    <w:name w:val="Comment Text Char"/>
    <w:basedOn w:val="24"/>
    <w:link w:val="12"/>
    <w:qFormat/>
    <w:uiPriority w:val="99"/>
    <w:rPr>
      <w:sz w:val="20"/>
      <w:szCs w:val="20"/>
    </w:rPr>
  </w:style>
  <w:style w:type="character" w:customStyle="1" w:styleId="48">
    <w:name w:val="Comment Subject Char"/>
    <w:basedOn w:val="47"/>
    <w:link w:val="21"/>
    <w:semiHidden/>
    <w:qFormat/>
    <w:uiPriority w:val="99"/>
    <w:rPr>
      <w:b/>
      <w:bCs/>
      <w:sz w:val="20"/>
      <w:szCs w:val="20"/>
    </w:rPr>
  </w:style>
  <w:style w:type="paragraph" w:customStyle="1" w:styleId="49">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0">
    <w:name w:val="B1"/>
    <w:basedOn w:val="1"/>
    <w:link w:val="51"/>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1">
    <w:name w:val="B1 Char1"/>
    <w:link w:val="50"/>
    <w:qFormat/>
    <w:uiPriority w:val="0"/>
    <w:rPr>
      <w:rFonts w:ascii="Times New Roman" w:hAnsi="Times New Roman" w:eastAsia="宋体" w:cs="Times New Roman"/>
      <w:sz w:val="20"/>
      <w:szCs w:val="20"/>
      <w:lang w:val="en-GB"/>
    </w:rPr>
  </w:style>
  <w:style w:type="table" w:customStyle="1" w:styleId="52">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3">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4">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5">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6">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7">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8">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59">
    <w:name w:val="Caption Char"/>
    <w:link w:val="11"/>
    <w:qFormat/>
    <w:uiPriority w:val="35"/>
    <w:rPr>
      <w:i/>
      <w:iCs/>
      <w:color w:val="44546A" w:themeColor="text2"/>
      <w:sz w:val="18"/>
      <w:szCs w:val="18"/>
      <w14:textFill>
        <w14:solidFill>
          <w14:schemeClr w14:val="tx2"/>
        </w14:solidFill>
      </w14:textFill>
    </w:rPr>
  </w:style>
  <w:style w:type="character" w:customStyle="1" w:styleId="60">
    <w:name w:val="List Paragraph Char"/>
    <w:link w:val="45"/>
    <w:qFormat/>
    <w:locked/>
    <w:uiPriority w:val="34"/>
  </w:style>
  <w:style w:type="paragraph" w:customStyle="1" w:styleId="61">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2">
    <w:name w:val="apple-converted-space"/>
    <w:basedOn w:val="24"/>
    <w:qFormat/>
    <w:uiPriority w:val="0"/>
  </w:style>
  <w:style w:type="character" w:customStyle="1" w:styleId="63">
    <w:name w:val="Mention"/>
    <w:basedOn w:val="24"/>
    <w:unhideWhenUsed/>
    <w:qFormat/>
    <w:uiPriority w:val="99"/>
    <w:rPr>
      <w:color w:val="2B579A"/>
      <w:shd w:val="clear" w:color="auto" w:fill="E1DFDD"/>
    </w:rPr>
  </w:style>
  <w:style w:type="paragraph" w:customStyle="1" w:styleId="64">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5">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6">
    <w:name w:val="IvD bodytext"/>
    <w:basedOn w:val="13"/>
    <w:link w:val="67"/>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7">
    <w:name w:val="IvD bodytext Char"/>
    <w:basedOn w:val="24"/>
    <w:link w:val="66"/>
    <w:qFormat/>
    <w:uiPriority w:val="0"/>
    <w:rPr>
      <w:rFonts w:ascii="Arial" w:hAnsi="Arial" w:cs="Times New Roman"/>
      <w:spacing w:val="2"/>
      <w:sz w:val="20"/>
      <w:szCs w:val="20"/>
    </w:rPr>
  </w:style>
  <w:style w:type="paragraph" w:customStyle="1" w:styleId="68">
    <w:name w:val="YJ-Proposal"/>
    <w:basedOn w:val="1"/>
    <w:qFormat/>
    <w:uiPriority w:val="0"/>
    <w:pPr>
      <w:numPr>
        <w:ilvl w:val="0"/>
        <w:numId w:val="6"/>
      </w:numPr>
      <w:jc w:val="left"/>
    </w:pPr>
    <w:rPr>
      <w:rFonts w:eastAsiaTheme="minorEastAsia"/>
      <w:b/>
      <w:bCs/>
      <w:i/>
      <w:iCs/>
      <w:sz w:val="20"/>
      <w:lang w:val="en-GB" w:eastAsia="en-US"/>
    </w:rPr>
  </w:style>
  <w:style w:type="paragraph" w:customStyle="1" w:styleId="69">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26</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2022-05-07T06:46:00Z</dcterms:created>
  <dc:creator>ZTE(Zhihong)</dc:creator>
  <cp:lastModifiedBy>ZTE-tanjie</cp:lastModifiedBy>
  <dcterms:modified xsi:type="dcterms:W3CDTF">2023-02-15T11:14:11Z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